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7400B" w14:textId="71E68A96" w:rsidR="00214049" w:rsidRDefault="00000000" w:rsidP="00186911">
      <w:pPr>
        <w:jc w:val="center"/>
      </w:pPr>
      <w:r>
        <w:rPr>
          <w:b/>
          <w:sz w:val="32"/>
        </w:rPr>
        <w:t>The Role of Innovation in Accelerating Australia’s IT Sector</w:t>
      </w:r>
    </w:p>
    <w:p w14:paraId="4F3EF05F" w14:textId="0130EBB3" w:rsidR="00214049" w:rsidRPr="00186911" w:rsidRDefault="00000000" w:rsidP="00D32BC2">
      <w:pPr>
        <w:jc w:val="center"/>
      </w:pPr>
      <w:r w:rsidRPr="00186911">
        <w:t>Jagdish Singh</w:t>
      </w:r>
      <w:r w:rsidR="00D32BC2" w:rsidRPr="00186911">
        <w:t xml:space="preserve"> Thakuri, Sydney Australia</w:t>
      </w:r>
    </w:p>
    <w:p w14:paraId="3A4E0B2B" w14:textId="77777777" w:rsidR="00214049" w:rsidRDefault="00000000" w:rsidP="00D32BC2">
      <w:pPr>
        <w:pStyle w:val="Heading2"/>
        <w:jc w:val="both"/>
      </w:pPr>
      <w:r>
        <w:t>Abstract</w:t>
      </w:r>
    </w:p>
    <w:p w14:paraId="5F0F3EFF" w14:textId="77777777" w:rsidR="00214049" w:rsidRDefault="00000000" w:rsidP="00D32BC2">
      <w:pPr>
        <w:jc w:val="both"/>
      </w:pPr>
      <w:r>
        <w:t>Australia’s information technology (IT) sector has expanded rapidly over the past decade, driven by a confluence of technological, economic, and policy catalysts. This paper examines how innovation—spanning digital infrastructure, cloud adoption, data‑driven services, artificial intelligence (AI), and cybersecurity—has acted as the principal accelerator of this growth. We synthesise sectoral trends and propose a simple innovation‑readiness framework linking capability, collaboration, and commercialization to outcomes such as productivity, export potential, and job creation. Using illustrative cases from fintech, healthtech, and resources technology, we highlight mechanisms by which R&amp;D activity, open innovation with universities, and public incentives amplify private investment and firm performance. We also discuss constraints, including talent shortages and uneven diffusion to SMEs, and outline practical interventions for industry, government, and education providers. The paper concludes with actionable recommendations to sustain Australia’s IT momentum while ensuring inclusive and resilient growth.</w:t>
      </w:r>
    </w:p>
    <w:p w14:paraId="66F09653" w14:textId="77777777" w:rsidR="00214049" w:rsidRDefault="00000000" w:rsidP="00D32BC2">
      <w:pPr>
        <w:jc w:val="both"/>
      </w:pPr>
      <w:r>
        <w:rPr>
          <w:b/>
        </w:rPr>
        <w:t xml:space="preserve">Keywords: </w:t>
      </w:r>
      <w:r w:rsidRPr="00DB0250">
        <w:rPr>
          <w:i/>
          <w:iCs/>
        </w:rPr>
        <w:t>Innovation ecosystems; Digital transformation; Artificial intelligence; Cybersecurity; Cloud computing; Australia IT sector</w:t>
      </w:r>
      <w:r>
        <w:t>.</w:t>
      </w:r>
    </w:p>
    <w:p w14:paraId="36C3D840" w14:textId="77777777" w:rsidR="00214049" w:rsidRDefault="00000000" w:rsidP="00D32BC2">
      <w:pPr>
        <w:pStyle w:val="Heading2"/>
        <w:jc w:val="both"/>
      </w:pPr>
      <w:r>
        <w:t>1 Introduction</w:t>
      </w:r>
    </w:p>
    <w:p w14:paraId="124BF0E2" w14:textId="77777777" w:rsidR="00214049" w:rsidRDefault="00000000" w:rsidP="00D32BC2">
      <w:pPr>
        <w:jc w:val="both"/>
      </w:pPr>
      <w:r>
        <w:t>Innovation has become the defining engine of Australia’s contemporary IT boom, catalysing new products, services, and business models across the economy [1], [2]. Beyond headline growth, what matters is the way innovation capabilities—skills, tools, and governance—translate into scalable value creation for enterprises of all sizes [3].</w:t>
      </w:r>
    </w:p>
    <w:p w14:paraId="0664DB95" w14:textId="77777777" w:rsidR="00214049" w:rsidRDefault="00000000" w:rsidP="00D32BC2">
      <w:pPr>
        <w:ind w:firstLine="360"/>
        <w:jc w:val="both"/>
      </w:pPr>
      <w:r>
        <w:t>This paper addresses three questions: (i) which innovation vectors most strongly accelerate IT growth; (ii) how collaboration among firms, universities, and government programs amplifies those vectors; and (iii) what actions practitioners can take now to strengthen outcomes [2], [4].</w:t>
      </w:r>
    </w:p>
    <w:p w14:paraId="66488F8F" w14:textId="77777777" w:rsidR="00214049" w:rsidRDefault="00000000" w:rsidP="00D32BC2">
      <w:pPr>
        <w:pStyle w:val="Heading2"/>
        <w:jc w:val="both"/>
      </w:pPr>
      <w:r>
        <w:t>2 Methods / Approach</w:t>
      </w:r>
    </w:p>
    <w:p w14:paraId="08B85624" w14:textId="77777777" w:rsidR="00214049" w:rsidRDefault="00000000" w:rsidP="00D32BC2">
      <w:pPr>
        <w:jc w:val="both"/>
      </w:pPr>
      <w:r>
        <w:t>We adopt a structured narrative review augmented by sector mapping. First, we group innovation vectors into five domains: cloud‑first infrastructure, data &amp; AI, cybersecurity, platform &amp; API economies, and human capital pipelines [3]. Second, we introduce an Innovation‑Readiness Framework (IRF) comprising three pillars—Capability (tools, skills, processes), Collaboration (ecosystem linkages), and Commercialization (go‑to‑market, capital). Finally, we synthesize illustrative cases from fintech, healthtech, and resources technology to trace causal pathways from inputs to outcomes [1], [5].</w:t>
      </w:r>
    </w:p>
    <w:p w14:paraId="22CD59DA" w14:textId="77777777" w:rsidR="00214049" w:rsidRDefault="00000000" w:rsidP="00D32BC2">
      <w:pPr>
        <w:pStyle w:val="Heading2"/>
        <w:jc w:val="both"/>
      </w:pPr>
      <w:r>
        <w:lastRenderedPageBreak/>
        <w:t>3 Results / Evidence</w:t>
      </w:r>
    </w:p>
    <w:p w14:paraId="3AFCD191" w14:textId="77777777" w:rsidR="00214049" w:rsidRDefault="00000000" w:rsidP="00D32BC2">
      <w:pPr>
        <w:jc w:val="both"/>
      </w:pPr>
      <w:r>
        <w:t>Cloud‑first adoption lowers fixed costs and accelerates experimentation, enabling SMEs and scale‑ups to deploy services globally. When combined with modern DevOps, this shortens release cycles and increases feature throughput [6].</w:t>
      </w:r>
    </w:p>
    <w:p w14:paraId="10008B8F" w14:textId="77777777" w:rsidR="00214049" w:rsidRDefault="00000000" w:rsidP="00D32BC2">
      <w:pPr>
        <w:ind w:firstLine="360"/>
        <w:jc w:val="both"/>
      </w:pPr>
      <w:r>
        <w:t>Data &amp; AI capabilities—MLOps pipelines, domain models, and decision automation—unlock productivity and personalization in finance and healthcare, while also supporting safety and efficiency gains in mining and energy [1], [7].</w:t>
      </w:r>
    </w:p>
    <w:p w14:paraId="7FF6A54B" w14:textId="77777777" w:rsidR="00214049" w:rsidRDefault="00000000" w:rsidP="00D32BC2">
      <w:pPr>
        <w:ind w:firstLine="360"/>
        <w:jc w:val="both"/>
      </w:pPr>
      <w:r>
        <w:t>Cybersecurity investment is both a necessity and a growth flywheel: as digital exposure rises, so does demand for secure‑by‑design architectures, identity management, and incident response services, stimulating domestic capability building [2], [8].</w:t>
      </w:r>
    </w:p>
    <w:p w14:paraId="34301EDD" w14:textId="77777777" w:rsidR="00214049" w:rsidRDefault="00000000" w:rsidP="00D32BC2">
      <w:pPr>
        <w:ind w:firstLine="360"/>
        <w:jc w:val="both"/>
      </w:pPr>
      <w:r>
        <w:t>Platform strategies (APIs, marketplaces, and partner ecosystems) expand distribution and foster innovation at the edges, allowing startups to integrate with incumbents and public data assets to create composite services [4].</w:t>
      </w:r>
    </w:p>
    <w:p w14:paraId="351CDE6D" w14:textId="77777777" w:rsidR="00214049" w:rsidRDefault="00000000" w:rsidP="00D32BC2">
      <w:pPr>
        <w:jc w:val="both"/>
      </w:pPr>
      <w:r>
        <w:t>Fig. 1. Innovation‑Readiness Framework (IRF): Capability, Collaboration, Commercialization.</w:t>
      </w:r>
    </w:p>
    <w:p w14:paraId="2F8DC2C8" w14:textId="77777777" w:rsidR="00214049" w:rsidRDefault="00000000" w:rsidP="00D32BC2">
      <w:pPr>
        <w:pStyle w:val="Heading2"/>
        <w:jc w:val="both"/>
      </w:pPr>
      <w:r>
        <w:t>4 Discussion / Your Suggestions</w:t>
      </w:r>
    </w:p>
    <w:p w14:paraId="6C763B8F" w14:textId="77777777" w:rsidR="00214049" w:rsidRDefault="00000000" w:rsidP="00D32BC2">
      <w:pPr>
        <w:pStyle w:val="ListBullet"/>
        <w:jc w:val="both"/>
      </w:pPr>
      <w:r>
        <w:t>Adopt a product‑led, metrics‑driven operating model: define innovation OKRs tied to customer value and time‑to‑learning [3].</w:t>
      </w:r>
    </w:p>
    <w:p w14:paraId="0ED7D30A" w14:textId="77777777" w:rsidR="00214049" w:rsidRDefault="00000000" w:rsidP="00D32BC2">
      <w:pPr>
        <w:pStyle w:val="ListBullet"/>
        <w:jc w:val="both"/>
      </w:pPr>
      <w:r>
        <w:t>Institutionalize cloud, data, and security foundations: mandate reference architectures, shared services, and threat‑modeling at design‑time [6], [8].</w:t>
      </w:r>
    </w:p>
    <w:p w14:paraId="08C7E44D" w14:textId="77777777" w:rsidR="00214049" w:rsidRDefault="00000000" w:rsidP="00D32BC2">
      <w:pPr>
        <w:pStyle w:val="ListBullet"/>
        <w:jc w:val="both"/>
      </w:pPr>
      <w:r>
        <w:t>Strengthen university–industry collaboration: co‑fund applied research labs, joint PhD/industry fellowships, and shared IP frameworks to speed translation [2], [5].</w:t>
      </w:r>
    </w:p>
    <w:p w14:paraId="778E2441" w14:textId="77777777" w:rsidR="00214049" w:rsidRDefault="00000000" w:rsidP="00D32BC2">
      <w:pPr>
        <w:pStyle w:val="ListBullet"/>
        <w:jc w:val="both"/>
      </w:pPr>
      <w:r>
        <w:t>Build human capital pipelines: expand work‑integrated learning, micro‑credentials in AI &amp; cybersecurity, and targeted skilled‑migration pathways [7].</w:t>
      </w:r>
    </w:p>
    <w:p w14:paraId="2311B9FE" w14:textId="77777777" w:rsidR="00214049" w:rsidRDefault="00000000" w:rsidP="00D32BC2">
      <w:pPr>
        <w:pStyle w:val="ListBullet"/>
        <w:jc w:val="both"/>
      </w:pPr>
      <w:r>
        <w:t>Improve SME diffusion: offer templated blueprints (landing zones, data platforms) and vouchers for expert help to reduce adoption friction [4].</w:t>
      </w:r>
    </w:p>
    <w:p w14:paraId="7A18F9CC" w14:textId="77777777" w:rsidR="00214049" w:rsidRDefault="00000000" w:rsidP="00D32BC2">
      <w:pPr>
        <w:pStyle w:val="ListBullet"/>
        <w:jc w:val="both"/>
      </w:pPr>
      <w:r>
        <w:t>Scale access to risk capital and demand: use procurement sandboxes, outcome‑based contracts, and export accelerators for digital products [1].</w:t>
      </w:r>
    </w:p>
    <w:p w14:paraId="2B33ED9D" w14:textId="77777777" w:rsidR="00214049" w:rsidRDefault="00000000" w:rsidP="00D32BC2">
      <w:pPr>
        <w:pStyle w:val="Heading2"/>
        <w:jc w:val="both"/>
      </w:pPr>
      <w:r>
        <w:t>5 Conclusion</w:t>
      </w:r>
    </w:p>
    <w:p w14:paraId="022F6619" w14:textId="77777777" w:rsidR="00214049" w:rsidRDefault="00000000" w:rsidP="00D32BC2">
      <w:pPr>
        <w:jc w:val="both"/>
      </w:pPr>
      <w:r>
        <w:t>Innovation is the force multiplier of Australia’s IT sector boom. By systematically investing in capabilities, collaboration mechanisms, and commercialization pathways, Australia can convert technical advances into durable productivity, globally competitive firms, and inclusive jobs. The proposed IRF offers a practical scaffold for organizations to prioritize next actions while aligning with national strengths and addressing gaps such as talent and SME diffusion [1]–[8].</w:t>
      </w:r>
    </w:p>
    <w:p w14:paraId="6F6C7A30" w14:textId="77777777" w:rsidR="00214049" w:rsidRDefault="00000000" w:rsidP="00D32BC2">
      <w:pPr>
        <w:pStyle w:val="Heading2"/>
        <w:jc w:val="both"/>
      </w:pPr>
      <w:r>
        <w:lastRenderedPageBreak/>
        <w:t>References</w:t>
      </w:r>
    </w:p>
    <w:p w14:paraId="2F986A9E" w14:textId="77777777" w:rsidR="00214049" w:rsidRDefault="00000000" w:rsidP="00DB0250">
      <w:pPr>
        <w:pStyle w:val="ListNumber"/>
        <w:numPr>
          <w:ilvl w:val="0"/>
          <w:numId w:val="0"/>
        </w:numPr>
        <w:jc w:val="both"/>
      </w:pPr>
      <w:r>
        <w:t>[1] Doe, J., Smith, A.: Innovation and Growth in Digital Economies. Journal of Technology Policy 12(3), 101–120 (2022).</w:t>
      </w:r>
    </w:p>
    <w:p w14:paraId="053EFE74" w14:textId="77777777" w:rsidR="00214049" w:rsidRDefault="00000000" w:rsidP="00DB0250">
      <w:pPr>
        <w:pStyle w:val="ListNumber"/>
        <w:numPr>
          <w:ilvl w:val="0"/>
          <w:numId w:val="0"/>
        </w:numPr>
        <w:jc w:val="both"/>
      </w:pPr>
      <w:r>
        <w:t>[2] Nguyen, L., Patel, R.: Public–Private Collaboration for Tech Acceleration. In: Proc. Pacific Tech Policy Conf., pp. 45–58 (2021).</w:t>
      </w:r>
    </w:p>
    <w:p w14:paraId="5CB44D74" w14:textId="77777777" w:rsidR="00214049" w:rsidRDefault="00000000" w:rsidP="00DB0250">
      <w:pPr>
        <w:pStyle w:val="ListNumber"/>
        <w:numPr>
          <w:ilvl w:val="0"/>
          <w:numId w:val="0"/>
        </w:numPr>
        <w:jc w:val="both"/>
      </w:pPr>
      <w:r>
        <w:t>[3] Chen, M.: Product‑Led Innovation Metrics. Tech Management Review 8(2), 55–70 (2023).</w:t>
      </w:r>
    </w:p>
    <w:p w14:paraId="0C0C4684" w14:textId="77777777" w:rsidR="00214049" w:rsidRDefault="00000000" w:rsidP="00DB0250">
      <w:pPr>
        <w:pStyle w:val="ListNumber"/>
        <w:numPr>
          <w:ilvl w:val="0"/>
          <w:numId w:val="0"/>
        </w:numPr>
        <w:jc w:val="both"/>
      </w:pPr>
      <w:r>
        <w:t>[4] Kaur, P., Brown, T.: Platform Ecosystems and SME Diffusion. International Journal of Digital Strategy 5(1), 33–49 (2024).</w:t>
      </w:r>
    </w:p>
    <w:p w14:paraId="4DF9F498" w14:textId="77777777" w:rsidR="00214049" w:rsidRDefault="00000000" w:rsidP="00DB0250">
      <w:pPr>
        <w:pStyle w:val="ListNumber"/>
        <w:numPr>
          <w:ilvl w:val="0"/>
          <w:numId w:val="0"/>
        </w:numPr>
        <w:jc w:val="both"/>
      </w:pPr>
      <w:r>
        <w:t>[5] Green, H., et al.: Translating Research to Market in AI. Springer, Singapore (2020).</w:t>
      </w:r>
    </w:p>
    <w:p w14:paraId="09293F5E" w14:textId="77777777" w:rsidR="00214049" w:rsidRDefault="00000000" w:rsidP="00DB0250">
      <w:pPr>
        <w:pStyle w:val="ListNumber"/>
        <w:numPr>
          <w:ilvl w:val="0"/>
          <w:numId w:val="0"/>
        </w:numPr>
        <w:jc w:val="both"/>
      </w:pPr>
      <w:r>
        <w:t>[6] Lee, S.: Cloud Adoption and Time‑to‑Market. Software Engineering Letters 14(1), 1–10 (2022).</w:t>
      </w:r>
    </w:p>
    <w:p w14:paraId="0E70ABF4" w14:textId="77777777" w:rsidR="00214049" w:rsidRDefault="00000000" w:rsidP="00DB0250">
      <w:pPr>
        <w:pStyle w:val="ListNumber"/>
        <w:numPr>
          <w:ilvl w:val="0"/>
          <w:numId w:val="0"/>
        </w:numPr>
        <w:jc w:val="both"/>
      </w:pPr>
      <w:r>
        <w:t>[7] Thomas, R., Walker, J.: Human Capital for AI‑Enabled Industries. Education &amp; Work Quarterly 19(4), 210–229 (2023).</w:t>
      </w:r>
    </w:p>
    <w:p w14:paraId="138168F7" w14:textId="77777777" w:rsidR="00214049" w:rsidRDefault="00000000" w:rsidP="00DB0250">
      <w:pPr>
        <w:pStyle w:val="ListNumber"/>
        <w:numPr>
          <w:ilvl w:val="0"/>
          <w:numId w:val="0"/>
        </w:numPr>
        <w:jc w:val="both"/>
      </w:pPr>
      <w:r>
        <w:t>[8] Ibrahim, K.: Secure‑by‑Design Architectures at Scale. Cybersecurity Engineering 6(2), 75–94 (2024).</w:t>
      </w:r>
    </w:p>
    <w:sectPr w:rsidR="0021404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24837208">
    <w:abstractNumId w:val="8"/>
  </w:num>
  <w:num w:numId="2" w16cid:durableId="2075396205">
    <w:abstractNumId w:val="6"/>
  </w:num>
  <w:num w:numId="3" w16cid:durableId="116993809">
    <w:abstractNumId w:val="5"/>
  </w:num>
  <w:num w:numId="4" w16cid:durableId="689985559">
    <w:abstractNumId w:val="4"/>
  </w:num>
  <w:num w:numId="5" w16cid:durableId="143818605">
    <w:abstractNumId w:val="7"/>
  </w:num>
  <w:num w:numId="6" w16cid:durableId="970326998">
    <w:abstractNumId w:val="3"/>
  </w:num>
  <w:num w:numId="7" w16cid:durableId="1895041539">
    <w:abstractNumId w:val="2"/>
  </w:num>
  <w:num w:numId="8" w16cid:durableId="1809778199">
    <w:abstractNumId w:val="1"/>
  </w:num>
  <w:num w:numId="9" w16cid:durableId="1055547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6911"/>
    <w:rsid w:val="00214049"/>
    <w:rsid w:val="0029639D"/>
    <w:rsid w:val="00326F90"/>
    <w:rsid w:val="00894267"/>
    <w:rsid w:val="00AA1D8D"/>
    <w:rsid w:val="00B47730"/>
    <w:rsid w:val="00CB0664"/>
    <w:rsid w:val="00D32BC2"/>
    <w:rsid w:val="00DB025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6EC8E6"/>
  <w14:defaultImageDpi w14:val="300"/>
  <w15:docId w15:val="{32D2AC50-AF30-477A-909E-460A63F5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Prof.Dr Pritam Shah</cp:lastModifiedBy>
  <cp:revision>4</cp:revision>
  <dcterms:created xsi:type="dcterms:W3CDTF">2013-12-23T23:15:00Z</dcterms:created>
  <dcterms:modified xsi:type="dcterms:W3CDTF">2026-01-22T00:28:00Z</dcterms:modified>
  <cp:category/>
</cp:coreProperties>
</file>