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99B5C" w14:textId="77777777" w:rsidR="007F1966" w:rsidRDefault="00000000">
      <w:pPr>
        <w:jc w:val="center"/>
      </w:pPr>
      <w:r>
        <w:rPr>
          <w:b/>
          <w:sz w:val="36"/>
        </w:rPr>
        <w:t>Network Architecture in an AI‑Driven Australia: Why It Matters and How to Build a Career</w:t>
      </w:r>
    </w:p>
    <w:p w14:paraId="34C9FCC0" w14:textId="7A8E8490" w:rsidR="007F1966" w:rsidRDefault="00A62C0C">
      <w:pPr>
        <w:jc w:val="center"/>
      </w:pPr>
      <w:r>
        <w:t>Safal Adhikari Sydney, Australia</w:t>
      </w:r>
    </w:p>
    <w:p w14:paraId="43F233E8" w14:textId="77777777" w:rsidR="007F1966" w:rsidRDefault="00000000">
      <w:pPr>
        <w:pStyle w:val="Heading1"/>
      </w:pPr>
      <w:r>
        <w:t>Abstract</w:t>
      </w:r>
    </w:p>
    <w:p w14:paraId="3DBE232C" w14:textId="77777777" w:rsidR="007F1966" w:rsidRDefault="00000000">
      <w:r>
        <w:t>Network architecture is the quietly decisive layer that allows Australia’s public services, universities and businesses to deploy artificial intelligence (AI) safely and at scale. As AI moves from pilots to production, networks must evolve from best‑effort connectivity to assured experience: low‑latency fabrics for training and inference, pervasive telemetry to power closed‑loop operations, and policy‑driven automation to maintain security and resilience. Australian strategies—spanning national cyber uplift, trustworthy AI assurance and digital‑government delivery—set clear expectations for secure, observable and automated architectures (Department of Home Affairs, 2023; Department of Finance, 2024; Digital Transformation Agency, 2025). Open standards and industry guidance (e.g., IETF telemetry and ETSI zero‑touch) offer practical blueprints for operators (IETF, 2022; ETSI, n.d.). This paper summarises why network architecture matters in an AI era, the architectural priorities that consistently succeed, and a compact career roadmap for Bachelor’s/Master’s graduates in Australia.</w:t>
      </w:r>
    </w:p>
    <w:p w14:paraId="42582B4C" w14:textId="77777777" w:rsidR="007F1966" w:rsidRDefault="00000000">
      <w:pPr>
        <w:pStyle w:val="Heading1"/>
      </w:pPr>
      <w:r>
        <w:lastRenderedPageBreak/>
        <w:t>1. Why Network Architecture Matters in an AI Era (Australia)</w:t>
      </w:r>
    </w:p>
    <w:p w14:paraId="4B81D40E" w14:textId="77777777" w:rsidR="007F1966" w:rsidRDefault="00000000">
      <w:r>
        <w:t>AI changes where, how and how quickly data must move. Training clusters generate intense east‑west traffic, edge inference requires predictable latency, and safety‑critical services (health, emergency response, utilities) demand zero‑trust segmentation and rapid containment. Australian agencies highlight a persistent threat environment; the ACSC’s 2024–25 reporting points to rising cost and frequency of cyber incidents, and continued state‑sponsored targeting of government and critical infrastructure (Australian Cyber Security Centre, 2025). In parallel, national policy sets design constraints and opportunities: the 2023–2030 Cyber Security Strategy emphasises safe technology and protected critical infrastructure, while the National Framework for the Assurance of AI in Government requires traceable, governed integration when AI touches public services (Department of Home Affairs, 2023; Department of Finance, 2024). The Data and Digital Government Strategy’s 2025 implementation plan prioritises resilient, trusted services—an operational mandate that is impossible to meet without programmable networks, rich telemetry and automation (Digital Transformation Agency, 2025).</w:t>
      </w:r>
    </w:p>
    <w:p w14:paraId="4EB107EF" w14:textId="77777777" w:rsidR="007F1966" w:rsidRDefault="00000000">
      <w:pPr>
        <w:pStyle w:val="Heading1"/>
      </w:pPr>
      <w:r>
        <w:t>2. Architectural Priorities That Consistently Work</w:t>
      </w:r>
    </w:p>
    <w:p w14:paraId="788A3669" w14:textId="77777777" w:rsidR="007F1966" w:rsidRDefault="00000000">
      <w:r>
        <w:t>• Programmability and intent: Express business/operational policy as intent; validate and enforce automatically with closed loops—aligned with ETSI’s zero‑touch direction (ETSI, n.d.).</w:t>
      </w:r>
    </w:p>
    <w:p w14:paraId="69564B22" w14:textId="77777777" w:rsidR="007F1966" w:rsidRDefault="00000000">
      <w:r>
        <w:t>• Telemetry by design: Stream model‑driven metrics/events across management, control and data planes to enable assurance and AIOps (IETF, 2022).</w:t>
      </w:r>
    </w:p>
    <w:p w14:paraId="2E8D5442" w14:textId="77777777" w:rsidR="007F1966" w:rsidRDefault="00000000">
      <w:r>
        <w:lastRenderedPageBreak/>
        <w:t>• Segmentation and identity: Design for least‑privilege, micro‑segmented access across campus, WAN and cloud; measure and contain blast radius (Department of Home Affairs, 2023).</w:t>
      </w:r>
    </w:p>
    <w:p w14:paraId="7EE639F2" w14:textId="77777777" w:rsidR="007F1966" w:rsidRDefault="00000000">
      <w:r>
        <w:t>• AI data‑centre fabrics: Build loss‑minimising, low‑latency Ethernet/RoCE fabrics and manage congestion; engineer front‑end/back‑end separation for GPU clusters (Cisco, 2025).</w:t>
      </w:r>
    </w:p>
    <w:p w14:paraId="6149EE2D" w14:textId="77777777" w:rsidR="007F1966" w:rsidRDefault="00000000">
      <w:r>
        <w:t>• Programmable RAN: Adopt O‑RAN RIC (xApps/rApps) patterns for optimisation and energy/QoE improvements as 5G‑Advanced evolves (O‑RAN Alliance, 2025).</w:t>
      </w:r>
    </w:p>
    <w:p w14:paraId="6C431886" w14:textId="77777777" w:rsidR="007F1966" w:rsidRDefault="00000000">
      <w:pPr>
        <w:pStyle w:val="Heading1"/>
      </w:pPr>
      <w:r>
        <w:t>3. Concise Literature Snapshot</w:t>
      </w:r>
    </w:p>
    <w:p w14:paraId="6510C743" w14:textId="77777777" w:rsidR="007F1966" w:rsidRDefault="00000000">
      <w:r>
        <w:t>Telemetry and assurance: IETF RFC 9232 defines a comprehensive framework for network telemetry—covering management, control and forwarding planes—and motivates its role in automated operations (IETF, 2022). Gartner’s 2024 outlook anticipates that by 2026, 30% of enterprises will automate more than half of network activities, underscoring why telemetry feeds, analytics and policy pipelines are foundational (Gartner, 2024).</w:t>
      </w:r>
    </w:p>
    <w:p w14:paraId="4FB93579" w14:textId="77777777" w:rsidR="007F1966" w:rsidRDefault="00000000">
      <w:r>
        <w:t>Zero‑touch and intent: ETSI’s ZSM workstream describes end‑to‑end automation and intent‑driven control for multi‑domain networks, aligning directly with public‑sector resilience and cost‑to‑serve goals (ETSI, n.d.; Digital Transformation Agency, 2025).</w:t>
      </w:r>
    </w:p>
    <w:p w14:paraId="0F453E86" w14:textId="77777777" w:rsidR="007F1966" w:rsidRDefault="00000000">
      <w:r>
        <w:t xml:space="preserve">AI‑native access and fabrics: O‑RAN Alliance updates from MWC 2025 demonstrate practical RIC‑based optimisation, while vendor‑neutral analyses describe AI fabric </w:t>
      </w:r>
      <w:r>
        <w:lastRenderedPageBreak/>
        <w:t>choices (e.g., Ethernet/RoCE vs. alternatives) and their congestion/telemetry implications (O‑RAN Alliance, 2025; Cisco, 2025).</w:t>
      </w:r>
    </w:p>
    <w:p w14:paraId="6E7C4CCE" w14:textId="77777777" w:rsidR="007F1966" w:rsidRDefault="00000000">
      <w:pPr>
        <w:pStyle w:val="Heading1"/>
      </w:pPr>
      <w:r>
        <w:t>4. Career Roadmap for Bachelor’s/Master’s Graduates (Australia)</w:t>
      </w:r>
    </w:p>
    <w:p w14:paraId="319B6888" w14:textId="77777777" w:rsidR="007F1966" w:rsidRDefault="00000000">
      <w:r>
        <w:t>Employers increasingly seek network professionals who can code, automate and reason from telemetry—while understanding security and policy. Below is a lean, skills‑first roadmap that reflects APS workforce signals and market research (Digital Transformation Agency, 2025; Cisco, 2025).</w:t>
      </w:r>
    </w:p>
    <w:p w14:paraId="32060040" w14:textId="77777777" w:rsidR="007F1966" w:rsidRDefault="00000000">
      <w:r>
        <w:rPr>
          <w:b/>
        </w:rPr>
        <w:t>Entry (0–2 years) — “automate the basics”</w:t>
      </w:r>
    </w:p>
    <w:p w14:paraId="2B445EBC" w14:textId="77777777" w:rsidR="007F1966" w:rsidRDefault="00000000">
      <w:r>
        <w:t>Roles: Graduate Network/Systems Engineer, NOC/SOC Analyst. Skills: IP/Routing/Switching, Linux, Python, Git, YAML, Ansible/Terraform, basic cloud networking, zero‑trust basics, and model‑driven telemetry. Deliverable: automate configuration/validation tasks and build simple observability dashboards (IETF, 2022).</w:t>
      </w:r>
    </w:p>
    <w:p w14:paraId="78F310B6" w14:textId="77777777" w:rsidR="007F1966" w:rsidRDefault="00000000">
      <w:r>
        <w:rPr>
          <w:b/>
        </w:rPr>
        <w:t>Professional (2–5 years) — “own a domain”</w:t>
      </w:r>
    </w:p>
    <w:p w14:paraId="1FD4FBB9" w14:textId="77777777" w:rsidR="007F1966" w:rsidRDefault="00000000">
      <w:r>
        <w:t>Roles: Associate Network Architect, Cloud Network Engineer, NetDevOps Engineer, Security/Segmentation Architect. Skills: SDN/controller design, intent pipelines, SASE/zero‑trust, AI fabric fundamentals (Ethernet/RoCE), and basic O‑RAN RIC concepts. Deliverable: propose an intent‑based blueprint with closed‑loop checks in a pilot domain (ETSI, n.d.; Cisco, 2025).</w:t>
      </w:r>
    </w:p>
    <w:p w14:paraId="48C9A75F" w14:textId="77777777" w:rsidR="007F1966" w:rsidRDefault="00000000">
      <w:r>
        <w:rPr>
          <w:b/>
        </w:rPr>
        <w:t>Advanced (5+ years) — “lead multi‑domain change”</w:t>
      </w:r>
    </w:p>
    <w:p w14:paraId="7B26C611" w14:textId="77777777" w:rsidR="007F1966" w:rsidRDefault="00000000">
      <w:r>
        <w:t xml:space="preserve">Roles: Principal/Chief Network Architect, Telco/RAN Architecture Lead. Skills: cross‑domain strategy (campus/WAN/cloud/RAN), risk and compliance, assurance </w:t>
      </w:r>
      <w:r>
        <w:lastRenderedPageBreak/>
        <w:t>KPIs/SLOs. Deliverable: a multi‑year automation and observability roadmap linked to public‑sector resilience or industry SLAs (Department of Home Affairs, 2023; Digital Transformation Agency, 2025).</w:t>
      </w:r>
    </w:p>
    <w:p w14:paraId="19898339" w14:textId="77777777" w:rsidR="007F1966" w:rsidRDefault="00000000">
      <w:pPr>
        <w:pStyle w:val="Heading1"/>
      </w:pPr>
      <w:r>
        <w:t>5. Justification</w:t>
      </w:r>
    </w:p>
    <w:p w14:paraId="4B7BDDB9" w14:textId="77777777" w:rsidR="007F1966" w:rsidRDefault="00000000">
      <w:r>
        <w:t>This concise paper draws on **Australian government sources** for local policy alignment (Cyber Security Strategy, AI Assurance Framework, and the Data &amp; Digital Government Strategy), ensuring recommendations reflect current public‑sector expectations for trust, resilience and compliance (Department of Home Affairs, 2023; Department of Finance, 2024; Digital Transformation Agency, 2025). It references **open standards** (IETF telemetry; ETSI ZSM) so architectural priorities are anchored in vendor‑neutral frameworks (IETF, 2022; ETSI, n.d.). Finally, it incorporates **current industry evidence**—O‑RAN progress and enterprise research on AI fabrics and automation—to capture operational reality and employer demand (O‑RAN Alliance, 2025; Cisco, 2025; Gartner, 2024).</w:t>
      </w:r>
    </w:p>
    <w:p w14:paraId="69F5EF00" w14:textId="77777777" w:rsidR="007F1966" w:rsidRDefault="00000000">
      <w:pPr>
        <w:pStyle w:val="Heading1"/>
      </w:pPr>
      <w:r>
        <w:t>6. Conclusion</w:t>
      </w:r>
    </w:p>
    <w:p w14:paraId="1ADEC950" w14:textId="77777777" w:rsidR="007F1966" w:rsidRDefault="00000000">
      <w:r>
        <w:t xml:space="preserve">AI is raising the stakes for networking in Australia: citizen‑facing services must be trustworthy and performant, research needs scale, and businesses compete on reliability and speed. The consistent pattern across credible guidance is clear: make networks programmable, observable and automatable; design identity‑centric segmentation; and </w:t>
      </w:r>
      <w:r>
        <w:lastRenderedPageBreak/>
        <w:t>engineer data‑centre/RAN domains for AI traffic patterns. With a compact skills plan and a standards‑aligned blueprint, graduates can step confidently into roles that matter.</w:t>
      </w:r>
    </w:p>
    <w:p w14:paraId="6FDDD4A2" w14:textId="77777777" w:rsidR="007F1966" w:rsidRDefault="00000000">
      <w:pPr>
        <w:pStyle w:val="Heading1"/>
      </w:pPr>
      <w:r>
        <w:t>References (APA 7th)</w:t>
      </w:r>
    </w:p>
    <w:p w14:paraId="2C332B23" w14:textId="77777777" w:rsidR="007F1966" w:rsidRDefault="00000000">
      <w:pPr>
        <w:ind w:left="720" w:hanging="720"/>
      </w:pPr>
      <w:r>
        <w:t>Australian Cyber Security Centre. (2025, October 14). Annual cyber threat report 2024–2025. https://www.cyber.gov.au/about-us/view-all-content/reports-and-statistics/annual-cyber-threat-report-2024-2025</w:t>
      </w:r>
    </w:p>
    <w:p w14:paraId="420AA0ED" w14:textId="77777777" w:rsidR="007F1966" w:rsidRDefault="00000000">
      <w:pPr>
        <w:ind w:left="720" w:hanging="720"/>
      </w:pPr>
      <w:r>
        <w:t>Cisco. (2025). 2025 networking research. https://newsroom.cisco.com/c/dam/r/newsroom/pdfs/Cisco-2025-Networking-Research.pdf</w:t>
      </w:r>
    </w:p>
    <w:p w14:paraId="2CCC7B51" w14:textId="77777777" w:rsidR="007F1966" w:rsidRDefault="00000000">
      <w:pPr>
        <w:ind w:left="720" w:hanging="720"/>
      </w:pPr>
      <w:r>
        <w:t>Department of Finance. (2024, June 21). National framework for the assurance of artificial intelligence in government. https://www.finance.gov.au/government/public-data/data-and-digital-ministers-meeting/national-framework-assurance-artificial-intelligence-government</w:t>
      </w:r>
    </w:p>
    <w:p w14:paraId="3BA39663" w14:textId="77777777" w:rsidR="007F1966" w:rsidRDefault="00000000">
      <w:pPr>
        <w:ind w:left="720" w:hanging="720"/>
      </w:pPr>
      <w:r>
        <w:t>Department of Home Affairs. (2023). 2023–2030 Australian cyber security strategy. https://www.homeaffairs.gov.au/about-us/our-portfolios/cyber-security/strategy/2023-2030-australian-cyber-security-strategy</w:t>
      </w:r>
    </w:p>
    <w:p w14:paraId="0DCD2424" w14:textId="77777777" w:rsidR="007F1966" w:rsidRDefault="00000000">
      <w:pPr>
        <w:ind w:left="720" w:hanging="720"/>
      </w:pPr>
      <w:r>
        <w:t>Digital Transformation Agency. (2025, November). Data and Digital Government Strategy—Implementation plan 2025. https://www.dataanddigital.gov.au/sites/default/files/documents/2025-11/2025%20Implementation%20Plan%20V1.01.pdf</w:t>
      </w:r>
    </w:p>
    <w:p w14:paraId="11F03A32" w14:textId="77777777" w:rsidR="007F1966" w:rsidRDefault="00000000">
      <w:pPr>
        <w:ind w:left="720" w:hanging="720"/>
      </w:pPr>
      <w:r>
        <w:lastRenderedPageBreak/>
        <w:t>ETSI. (n.d.). Zero‑touch network &amp; service management (ZSM). https://www.etsi.org/technologies/zero-touch-network-service-management</w:t>
      </w:r>
    </w:p>
    <w:p w14:paraId="47F53DB8" w14:textId="77777777" w:rsidR="007F1966" w:rsidRDefault="00000000">
      <w:pPr>
        <w:ind w:left="720" w:hanging="720"/>
      </w:pPr>
      <w:r>
        <w:t>Gartner. (2024, September 18). 30% of enterprises will automate more than half of their network activities by 2026. https://www.gartner.com/en/newsroom/press-releases/2024-09-18-gartner-says-30-percent-of-enterprises-will-automate-more-than-half-of-their-network-activities-by-2026</w:t>
      </w:r>
    </w:p>
    <w:p w14:paraId="264DA678" w14:textId="77777777" w:rsidR="007F1966" w:rsidRDefault="00000000">
      <w:pPr>
        <w:ind w:left="720" w:hanging="720"/>
      </w:pPr>
      <w:r>
        <w:t>IETF. (2022). RFC 9232: Network telemetry framework. https://doi.org/10.17487/RFC9232</w:t>
      </w:r>
    </w:p>
    <w:p w14:paraId="0BF80F48" w14:textId="77777777" w:rsidR="007F1966" w:rsidRDefault="00000000">
      <w:pPr>
        <w:ind w:left="720" w:hanging="720"/>
      </w:pPr>
      <w:r>
        <w:t>O‑RAN Alliance. (2025, February 21). Advancing RAN performance: O‑RAN ALLIANCE participants showcase innovative solutions at MWC Barcelona 2025 [Press release]. https://www.o-ran.org/press-releases/advancing-ran-performance-o-ran-alliance-participants-showcase-innovative-solutions-at-mwc-barcelona-2025</w:t>
      </w:r>
    </w:p>
    <w:sectPr w:rsidR="007F196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9D256" w14:textId="77777777" w:rsidR="00D210D8" w:rsidRDefault="00D210D8">
      <w:pPr>
        <w:spacing w:line="240" w:lineRule="auto"/>
      </w:pPr>
      <w:r>
        <w:separator/>
      </w:r>
    </w:p>
  </w:endnote>
  <w:endnote w:type="continuationSeparator" w:id="0">
    <w:p w14:paraId="2FAD58C0" w14:textId="77777777" w:rsidR="00D210D8" w:rsidRDefault="00D210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09D11" w14:textId="77777777" w:rsidR="007F1966" w:rsidRDefault="00000000">
    <w:pPr>
      <w:jc w:val="center"/>
    </w:pPr>
    <w:r>
      <w:t xml:space="preserve">Page </w:t>
    </w:r>
    <w:r>
      <w:fldChar w:fldCharType="begin"/>
    </w:r>
    <w:r>
      <w:instrText>PAGE</w:instrText>
    </w:r>
    <w:r>
      <w:fldChar w:fldCharType="separate"/>
    </w:r>
    <w:r>
      <w:t>1</w:t>
    </w:r>
    <w:r>
      <w:fldChar w:fldCharType="end"/>
    </w:r>
    <w:r>
      <w:t xml:space="preserve"> of </w:t>
    </w:r>
    <w:r>
      <w:fldChar w:fldCharType="begin"/>
    </w:r>
    <w:r>
      <w:instrText>NUMPAGES</w:instrText>
    </w:r>
    <w:r>
      <w:fldChar w:fldCharType="separate"/>
    </w:r>
    <w:r>
      <w:t>1</w:t>
    </w:r>
    <w:r>
      <w:fldChar w:fldCharType="end"/>
    </w:r>
  </w:p>
  <w:p w14:paraId="714679CD" w14:textId="77777777" w:rsidR="007F1966" w:rsidRDefault="00000000">
    <w:r>
      <w:rPr>
        <w:i/>
        <w:sz w:val="18"/>
      </w:rPr>
      <w:t>Key terms: Network architecture; AI‑native networking; intent‑based automation; network telemetry; zero‑trust segmentation; AI data‑centre fabrics; O‑RAN RIC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C4CD7" w14:textId="77777777" w:rsidR="00D210D8" w:rsidRDefault="00D210D8">
      <w:pPr>
        <w:spacing w:line="240" w:lineRule="auto"/>
      </w:pPr>
      <w:r>
        <w:separator/>
      </w:r>
    </w:p>
  </w:footnote>
  <w:footnote w:type="continuationSeparator" w:id="0">
    <w:p w14:paraId="61F19FEA" w14:textId="77777777" w:rsidR="00D210D8" w:rsidRDefault="00D210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8DDB" w14:textId="77777777" w:rsidR="007F1966" w:rsidRDefault="00000000">
    <w:pPr>
      <w:pStyle w:val="Header"/>
    </w:pPr>
    <w:r>
      <w:t>NETWORK ARCHITECTURE &amp; AI IN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43671686">
    <w:abstractNumId w:val="8"/>
  </w:num>
  <w:num w:numId="2" w16cid:durableId="2091194460">
    <w:abstractNumId w:val="6"/>
  </w:num>
  <w:num w:numId="3" w16cid:durableId="2053578308">
    <w:abstractNumId w:val="5"/>
  </w:num>
  <w:num w:numId="4" w16cid:durableId="916092069">
    <w:abstractNumId w:val="4"/>
  </w:num>
  <w:num w:numId="5" w16cid:durableId="875236095">
    <w:abstractNumId w:val="7"/>
  </w:num>
  <w:num w:numId="6" w16cid:durableId="497502086">
    <w:abstractNumId w:val="3"/>
  </w:num>
  <w:num w:numId="7" w16cid:durableId="1098602263">
    <w:abstractNumId w:val="2"/>
  </w:num>
  <w:num w:numId="8" w16cid:durableId="354236734">
    <w:abstractNumId w:val="1"/>
  </w:num>
  <w:num w:numId="9" w16cid:durableId="543248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463AB"/>
    <w:rsid w:val="004631D9"/>
    <w:rsid w:val="007F1966"/>
    <w:rsid w:val="00A62C0C"/>
    <w:rsid w:val="00AA1D8D"/>
    <w:rsid w:val="00B47730"/>
    <w:rsid w:val="00CB0664"/>
    <w:rsid w:val="00D210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B6C31"/>
  <w14:defaultImageDpi w14:val="300"/>
  <w15:docId w15:val="{C14FA9CF-D8C5-4A9F-A5C9-62BF0240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Safal ADHIKARI</cp:lastModifiedBy>
  <cp:revision>2</cp:revision>
  <dcterms:created xsi:type="dcterms:W3CDTF">2026-01-22T00:40:00Z</dcterms:created>
  <dcterms:modified xsi:type="dcterms:W3CDTF">2026-01-22T00:40:00Z</dcterms:modified>
  <cp:category/>
</cp:coreProperties>
</file>